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8D" w:rsidRDefault="00835C8D" w:rsidP="00835C8D">
      <w:pPr>
        <w:jc w:val="center"/>
        <w:rPr>
          <w:rFonts w:ascii="Arial" w:hAnsi="Arial" w:cs="Arial"/>
          <w:b/>
          <w:noProof/>
          <w:sz w:val="28"/>
          <w:lang w:val="az-Latn-AZ"/>
        </w:rPr>
      </w:pPr>
    </w:p>
    <w:p w:rsidR="00835C8D" w:rsidRPr="00C97E81" w:rsidRDefault="00835C8D" w:rsidP="00835C8D">
      <w:pPr>
        <w:jc w:val="center"/>
        <w:rPr>
          <w:rFonts w:ascii="Arial" w:hAnsi="Arial" w:cs="Arial"/>
          <w:b/>
          <w:noProof/>
          <w:sz w:val="28"/>
        </w:rPr>
      </w:pPr>
      <w:bookmarkStart w:id="0" w:name="_GoBack"/>
      <w:bookmarkEnd w:id="0"/>
      <w:r w:rsidRPr="00C97E81">
        <w:rPr>
          <w:rFonts w:ascii="Arial" w:hAnsi="Arial" w:cs="Arial"/>
          <w:b/>
          <w:noProof/>
          <w:sz w:val="28"/>
        </w:rPr>
        <w:t>Risk Appetite Statement</w:t>
      </w:r>
    </w:p>
    <w:p w:rsidR="00835C8D" w:rsidRPr="00C97E81" w:rsidRDefault="00C97E81" w:rsidP="00835C8D">
      <w:pPr>
        <w:jc w:val="center"/>
        <w:rPr>
          <w:rFonts w:ascii="Arial" w:hAnsi="Arial" w:cs="Arial"/>
          <w:b/>
          <w:noProof/>
          <w:sz w:val="28"/>
        </w:rPr>
      </w:pPr>
      <w:r>
        <w:rPr>
          <w:rFonts w:ascii="Arial" w:hAnsi="Arial" w:cs="Arial"/>
          <w:b/>
          <w:noProof/>
          <w:sz w:val="28"/>
        </w:rPr>
        <w:t xml:space="preserve"> </w:t>
      </w:r>
      <w:r w:rsidR="00DE7921" w:rsidRPr="00C97E81">
        <w:rPr>
          <w:rFonts w:ascii="Arial" w:hAnsi="Arial" w:cs="Arial"/>
          <w:b/>
          <w:noProof/>
          <w:sz w:val="28"/>
        </w:rPr>
        <w:t>“KAPİTAL BANK OJSC</w:t>
      </w:r>
      <w:r w:rsidR="00835C8D" w:rsidRPr="00C97E81">
        <w:rPr>
          <w:rFonts w:ascii="Arial" w:hAnsi="Arial" w:cs="Arial"/>
          <w:b/>
          <w:noProof/>
          <w:sz w:val="28"/>
        </w:rPr>
        <w:t>”</w:t>
      </w:r>
    </w:p>
    <w:p w:rsidR="00835C8D" w:rsidRPr="00C97E81" w:rsidRDefault="00835C8D" w:rsidP="00835C8D">
      <w:pPr>
        <w:pStyle w:val="ListParagraph"/>
        <w:numPr>
          <w:ilvl w:val="0"/>
          <w:numId w:val="7"/>
        </w:numPr>
        <w:spacing w:line="254" w:lineRule="auto"/>
        <w:jc w:val="center"/>
        <w:rPr>
          <w:rFonts w:ascii="Arial" w:hAnsi="Arial" w:cs="Arial"/>
          <w:b/>
          <w:noProof/>
        </w:rPr>
      </w:pPr>
      <w:r w:rsidRPr="00C97E81">
        <w:rPr>
          <w:rFonts w:ascii="Arial" w:hAnsi="Arial" w:cs="Arial"/>
          <w:b/>
          <w:noProof/>
        </w:rPr>
        <w:t>General Provisions</w:t>
      </w:r>
    </w:p>
    <w:p w:rsidR="00835C8D" w:rsidRPr="00C97E81" w:rsidRDefault="00835C8D" w:rsidP="00835C8D">
      <w:pPr>
        <w:pStyle w:val="ListParagraph"/>
        <w:numPr>
          <w:ilvl w:val="1"/>
          <w:numId w:val="7"/>
        </w:numPr>
        <w:spacing w:line="254" w:lineRule="auto"/>
        <w:jc w:val="both"/>
        <w:rPr>
          <w:rFonts w:ascii="Arial" w:hAnsi="Arial" w:cs="Arial"/>
        </w:rPr>
      </w:pPr>
      <w:proofErr w:type="spellStart"/>
      <w:r w:rsidRPr="00C97E81">
        <w:rPr>
          <w:rFonts w:ascii="Arial" w:hAnsi="Arial" w:cs="Arial"/>
        </w:rPr>
        <w:t>Kapital</w:t>
      </w:r>
      <w:proofErr w:type="spellEnd"/>
      <w:r w:rsidRPr="00C97E81">
        <w:rPr>
          <w:rFonts w:ascii="Arial" w:hAnsi="Arial" w:cs="Arial"/>
        </w:rPr>
        <w:t xml:space="preserve"> Bank</w:t>
      </w:r>
      <w:r w:rsidR="00EC138C">
        <w:rPr>
          <w:rFonts w:ascii="Arial" w:hAnsi="Arial" w:cs="Arial"/>
        </w:rPr>
        <w:t>’s</w:t>
      </w:r>
      <w:r w:rsidRPr="00C97E81">
        <w:rPr>
          <w:rFonts w:ascii="Arial" w:hAnsi="Arial" w:cs="Arial"/>
        </w:rPr>
        <w:t xml:space="preserve"> </w:t>
      </w:r>
      <w:r w:rsidR="00DE7921" w:rsidRPr="00FE6EC3">
        <w:rPr>
          <w:rFonts w:ascii="Arial" w:hAnsi="Arial" w:cs="Arial"/>
        </w:rPr>
        <w:t>OJSC</w:t>
      </w:r>
      <w:r w:rsidRPr="00C97E81">
        <w:rPr>
          <w:rFonts w:ascii="Arial" w:hAnsi="Arial" w:cs="Arial"/>
        </w:rPr>
        <w:t xml:space="preserve"> </w:t>
      </w:r>
      <w:r w:rsidR="00EC138C">
        <w:rPr>
          <w:rFonts w:ascii="Arial" w:hAnsi="Arial" w:cs="Arial"/>
        </w:rPr>
        <w:t xml:space="preserve">Risk Appetite Statement </w:t>
      </w:r>
      <w:r w:rsidRPr="00C97E81">
        <w:rPr>
          <w:rFonts w:ascii="Arial" w:hAnsi="Arial" w:cs="Arial"/>
        </w:rPr>
        <w:t>(RAS) has been prepared in accordance with the regulatory legal acts of the Central Bank of the Republic of Azerbaijan, long-term business strategy and goals of the Bank, R</w:t>
      </w:r>
      <w:r w:rsidR="00DE7921" w:rsidRPr="00C97E81">
        <w:rPr>
          <w:rFonts w:ascii="Arial" w:hAnsi="Arial" w:cs="Arial"/>
        </w:rPr>
        <w:t>isk Management</w:t>
      </w:r>
      <w:r w:rsidRPr="00C97E81">
        <w:rPr>
          <w:rFonts w:ascii="Arial" w:hAnsi="Arial" w:cs="Arial"/>
        </w:rPr>
        <w:t xml:space="preserve"> Strategy of the Bank, "Enterprise Risk Management Policy" of the Bank, and capital planning of the Bank.</w:t>
      </w:r>
    </w:p>
    <w:p w:rsidR="00835C8D" w:rsidRPr="00C97E81" w:rsidRDefault="00835C8D" w:rsidP="00835C8D">
      <w:pPr>
        <w:pStyle w:val="ListParagraph"/>
        <w:numPr>
          <w:ilvl w:val="1"/>
          <w:numId w:val="7"/>
        </w:numPr>
        <w:spacing w:line="254" w:lineRule="auto"/>
        <w:jc w:val="both"/>
        <w:rPr>
          <w:rFonts w:ascii="Arial" w:hAnsi="Arial" w:cs="Arial"/>
        </w:rPr>
      </w:pPr>
      <w:r w:rsidRPr="00C97E81">
        <w:rPr>
          <w:rFonts w:ascii="Arial" w:hAnsi="Arial" w:cs="Arial"/>
        </w:rPr>
        <w:t xml:space="preserve">The Bank considers it one of its main principles to achieve its short and long-term goals in an effective and efficient manner. For this </w:t>
      </w:r>
      <w:r w:rsidR="00DE7921" w:rsidRPr="00C97E81">
        <w:rPr>
          <w:rFonts w:ascii="Arial" w:hAnsi="Arial" w:cs="Arial"/>
        </w:rPr>
        <w:t xml:space="preserve">purpose, it formulates an </w:t>
      </w:r>
      <w:proofErr w:type="gramStart"/>
      <w:r w:rsidR="00DE7921" w:rsidRPr="00C97E81">
        <w:rPr>
          <w:rFonts w:ascii="Arial" w:hAnsi="Arial" w:cs="Arial"/>
        </w:rPr>
        <w:t>e</w:t>
      </w:r>
      <w:r w:rsidRPr="00C97E81">
        <w:rPr>
          <w:rFonts w:ascii="Arial" w:hAnsi="Arial" w:cs="Arial"/>
        </w:rPr>
        <w:t xml:space="preserve">nterprise </w:t>
      </w:r>
      <w:r w:rsidR="00DE7921" w:rsidRPr="00C97E81">
        <w:rPr>
          <w:rFonts w:ascii="Arial" w:hAnsi="Arial" w:cs="Arial"/>
        </w:rPr>
        <w:t>risk management framework</w:t>
      </w:r>
      <w:proofErr w:type="gramEnd"/>
      <w:r w:rsidR="00DE7921" w:rsidRPr="00C97E81">
        <w:rPr>
          <w:rFonts w:ascii="Arial" w:hAnsi="Arial" w:cs="Arial"/>
        </w:rPr>
        <w:t xml:space="preserve"> and promotes a risk c</w:t>
      </w:r>
      <w:r w:rsidRPr="00C97E81">
        <w:rPr>
          <w:rFonts w:ascii="Arial" w:hAnsi="Arial" w:cs="Arial"/>
        </w:rPr>
        <w:t xml:space="preserve">ulture in order to achieve its goals within the </w:t>
      </w:r>
      <w:r w:rsidR="00DE7921" w:rsidRPr="00C97E81">
        <w:rPr>
          <w:rFonts w:ascii="Arial" w:hAnsi="Arial" w:cs="Arial"/>
        </w:rPr>
        <w:t>risk a</w:t>
      </w:r>
      <w:r w:rsidRPr="00C97E81">
        <w:rPr>
          <w:rFonts w:ascii="Arial" w:hAnsi="Arial" w:cs="Arial"/>
        </w:rPr>
        <w:t>ppetite.</w:t>
      </w:r>
    </w:p>
    <w:p w:rsidR="00835C8D" w:rsidRPr="00C97E81" w:rsidRDefault="00EC138C" w:rsidP="00835C8D">
      <w:pPr>
        <w:pStyle w:val="ListParagraph"/>
        <w:numPr>
          <w:ilvl w:val="1"/>
          <w:numId w:val="7"/>
        </w:numPr>
        <w:spacing w:line="254" w:lineRule="auto"/>
        <w:rPr>
          <w:rFonts w:ascii="Arial" w:hAnsi="Arial" w:cs="Arial"/>
        </w:rPr>
      </w:pPr>
      <w:r>
        <w:rPr>
          <w:rFonts w:ascii="Arial" w:hAnsi="Arial" w:cs="Arial"/>
        </w:rPr>
        <w:t xml:space="preserve">The Bank’s </w:t>
      </w:r>
      <w:r w:rsidR="00835C8D" w:rsidRPr="00C97E81">
        <w:rPr>
          <w:rFonts w:ascii="Arial" w:hAnsi="Arial" w:cs="Arial"/>
        </w:rPr>
        <w:t>Ris</w:t>
      </w:r>
      <w:r>
        <w:rPr>
          <w:rFonts w:ascii="Arial" w:hAnsi="Arial" w:cs="Arial"/>
        </w:rPr>
        <w:t>k Appetite Statement</w:t>
      </w:r>
      <w:r w:rsidR="00835C8D" w:rsidRPr="00C97E81">
        <w:rPr>
          <w:rFonts w:ascii="Arial" w:hAnsi="Arial" w:cs="Arial"/>
        </w:rPr>
        <w:t xml:space="preserve"> </w:t>
      </w:r>
      <w:proofErr w:type="gramStart"/>
      <w:r w:rsidR="00835C8D" w:rsidRPr="00C97E81">
        <w:rPr>
          <w:rFonts w:ascii="Arial" w:hAnsi="Arial" w:cs="Arial"/>
        </w:rPr>
        <w:t>is formul</w:t>
      </w:r>
      <w:r>
        <w:rPr>
          <w:rFonts w:ascii="Arial" w:hAnsi="Arial" w:cs="Arial"/>
        </w:rPr>
        <w:t xml:space="preserve">ated and aligned with strategic </w:t>
      </w:r>
      <w:r w:rsidR="00835C8D" w:rsidRPr="00C97E81">
        <w:rPr>
          <w:rFonts w:ascii="Arial" w:hAnsi="Arial" w:cs="Arial"/>
        </w:rPr>
        <w:t>objectives of the Bank</w:t>
      </w:r>
      <w:proofErr w:type="gramEnd"/>
      <w:r w:rsidR="00835C8D" w:rsidRPr="00C97E81">
        <w:rPr>
          <w:rFonts w:ascii="Arial" w:hAnsi="Arial" w:cs="Arial"/>
        </w:rPr>
        <w:t>.</w:t>
      </w:r>
    </w:p>
    <w:p w:rsidR="00835C8D" w:rsidRPr="00C97E81" w:rsidRDefault="00835C8D" w:rsidP="00835C8D">
      <w:pPr>
        <w:pStyle w:val="ListParagraph"/>
        <w:numPr>
          <w:ilvl w:val="1"/>
          <w:numId w:val="7"/>
        </w:numPr>
        <w:spacing w:line="254" w:lineRule="auto"/>
        <w:jc w:val="both"/>
        <w:rPr>
          <w:rFonts w:ascii="Arial" w:hAnsi="Arial" w:cs="Arial"/>
        </w:rPr>
      </w:pPr>
      <w:r w:rsidRPr="00C97E81">
        <w:rPr>
          <w:rFonts w:ascii="Arial" w:hAnsi="Arial" w:cs="Arial"/>
        </w:rPr>
        <w:t>All products, services and processes of the Bank</w:t>
      </w:r>
      <w:r w:rsidR="00FE6EC3">
        <w:rPr>
          <w:rFonts w:ascii="Arial" w:hAnsi="Arial" w:cs="Arial"/>
        </w:rPr>
        <w:t xml:space="preserve">, as well as areas of </w:t>
      </w:r>
      <w:proofErr w:type="spellStart"/>
      <w:r w:rsidR="00FE6EC3">
        <w:rPr>
          <w:rFonts w:ascii="Arial" w:hAnsi="Arial" w:cs="Arial"/>
        </w:rPr>
        <w:t>activity</w:t>
      </w:r>
      <w:proofErr w:type="gramStart"/>
      <w:r w:rsidR="00FE6EC3">
        <w:rPr>
          <w:rFonts w:ascii="Arial" w:hAnsi="Arial" w:cs="Arial"/>
        </w:rPr>
        <w:t>,</w:t>
      </w:r>
      <w:r w:rsidRPr="00C97E81">
        <w:rPr>
          <w:rFonts w:ascii="Arial" w:hAnsi="Arial" w:cs="Arial"/>
        </w:rPr>
        <w:t>are</w:t>
      </w:r>
      <w:proofErr w:type="spellEnd"/>
      <w:proofErr w:type="gramEnd"/>
      <w:r w:rsidRPr="00C97E81">
        <w:rPr>
          <w:rFonts w:ascii="Arial" w:hAnsi="Arial" w:cs="Arial"/>
        </w:rPr>
        <w:t xml:space="preserve"> i</w:t>
      </w:r>
      <w:r w:rsidR="00DE7921" w:rsidRPr="00C97E81">
        <w:rPr>
          <w:rFonts w:ascii="Arial" w:hAnsi="Arial" w:cs="Arial"/>
        </w:rPr>
        <w:t>mplemented taking into account risk a</w:t>
      </w:r>
      <w:r w:rsidRPr="00C97E81">
        <w:rPr>
          <w:rFonts w:ascii="Arial" w:hAnsi="Arial" w:cs="Arial"/>
        </w:rPr>
        <w:t>ppetite of the Bank.</w:t>
      </w:r>
    </w:p>
    <w:p w:rsidR="00835C8D" w:rsidRPr="00C97E81" w:rsidRDefault="00DE7921" w:rsidP="00835C8D">
      <w:pPr>
        <w:pStyle w:val="ListParagraph"/>
        <w:numPr>
          <w:ilvl w:val="1"/>
          <w:numId w:val="7"/>
        </w:numPr>
        <w:spacing w:line="254" w:lineRule="auto"/>
        <w:jc w:val="both"/>
        <w:rPr>
          <w:rFonts w:ascii="Arial" w:hAnsi="Arial" w:cs="Arial"/>
        </w:rPr>
      </w:pPr>
      <w:r w:rsidRPr="00C97E81">
        <w:rPr>
          <w:rFonts w:ascii="Arial" w:hAnsi="Arial" w:cs="Arial"/>
        </w:rPr>
        <w:t>The Bank shall base its risk a</w:t>
      </w:r>
      <w:r w:rsidR="00835C8D" w:rsidRPr="00C97E81">
        <w:rPr>
          <w:rFonts w:ascii="Arial" w:hAnsi="Arial" w:cs="Arial"/>
        </w:rPr>
        <w:t>ppetite limits on at least the following values:</w:t>
      </w:r>
    </w:p>
    <w:p w:rsidR="00835C8D" w:rsidRPr="00C97E81" w:rsidRDefault="00835C8D" w:rsidP="00835C8D">
      <w:pPr>
        <w:pStyle w:val="ListParagraph"/>
        <w:numPr>
          <w:ilvl w:val="0"/>
          <w:numId w:val="8"/>
        </w:numPr>
        <w:spacing w:line="254" w:lineRule="auto"/>
        <w:ind w:left="1843"/>
        <w:jc w:val="both"/>
        <w:rPr>
          <w:rFonts w:ascii="Arial" w:hAnsi="Arial" w:cs="Arial"/>
        </w:rPr>
      </w:pPr>
      <w:r w:rsidRPr="00C97E81">
        <w:rPr>
          <w:rFonts w:ascii="Arial" w:hAnsi="Arial" w:cs="Arial"/>
        </w:rPr>
        <w:t>Maintaining the highest ethical conduct;</w:t>
      </w:r>
    </w:p>
    <w:p w:rsidR="00835C8D" w:rsidRPr="00C97E81" w:rsidRDefault="00835C8D" w:rsidP="00835C8D">
      <w:pPr>
        <w:pStyle w:val="ListParagraph"/>
        <w:numPr>
          <w:ilvl w:val="0"/>
          <w:numId w:val="8"/>
        </w:numPr>
        <w:spacing w:line="254" w:lineRule="auto"/>
        <w:ind w:left="1843"/>
        <w:jc w:val="both"/>
        <w:rPr>
          <w:rFonts w:ascii="Arial" w:hAnsi="Arial" w:cs="Arial"/>
        </w:rPr>
      </w:pPr>
      <w:r w:rsidRPr="00C97E81">
        <w:rPr>
          <w:rFonts w:ascii="Arial" w:hAnsi="Arial" w:cs="Arial"/>
        </w:rPr>
        <w:t>Protecting the long-term financial stability of the bank;</w:t>
      </w:r>
    </w:p>
    <w:p w:rsidR="00835C8D" w:rsidRPr="00C97E81" w:rsidRDefault="00835C8D" w:rsidP="00835C8D">
      <w:pPr>
        <w:pStyle w:val="ListParagraph"/>
        <w:numPr>
          <w:ilvl w:val="0"/>
          <w:numId w:val="8"/>
        </w:numPr>
        <w:spacing w:line="254" w:lineRule="auto"/>
        <w:ind w:left="1843"/>
        <w:jc w:val="both"/>
        <w:rPr>
          <w:rFonts w:ascii="Arial" w:hAnsi="Arial" w:cs="Arial"/>
        </w:rPr>
      </w:pPr>
      <w:r w:rsidRPr="00C97E81">
        <w:rPr>
          <w:rFonts w:ascii="Arial" w:hAnsi="Arial" w:cs="Arial"/>
        </w:rPr>
        <w:t xml:space="preserve">Ensuring transparent, timely and </w:t>
      </w:r>
      <w:r w:rsidR="00C97E81" w:rsidRPr="00C97E81">
        <w:rPr>
          <w:rFonts w:ascii="Arial" w:hAnsi="Arial" w:cs="Arial"/>
        </w:rPr>
        <w:t>comprehensive</w:t>
      </w:r>
      <w:r w:rsidRPr="00C97E81">
        <w:rPr>
          <w:rFonts w:ascii="Arial" w:hAnsi="Arial" w:cs="Arial"/>
        </w:rPr>
        <w:t xml:space="preserve"> reporting;</w:t>
      </w:r>
    </w:p>
    <w:p w:rsidR="00835C8D" w:rsidRPr="00C97E81" w:rsidRDefault="00835C8D" w:rsidP="00835C8D">
      <w:pPr>
        <w:pStyle w:val="ListParagraph"/>
        <w:numPr>
          <w:ilvl w:val="0"/>
          <w:numId w:val="8"/>
        </w:numPr>
        <w:spacing w:line="254" w:lineRule="auto"/>
        <w:ind w:left="1843"/>
        <w:jc w:val="both"/>
        <w:rPr>
          <w:rFonts w:ascii="Arial" w:hAnsi="Arial" w:cs="Arial"/>
        </w:rPr>
      </w:pPr>
      <w:r w:rsidRPr="00C97E81">
        <w:rPr>
          <w:rFonts w:ascii="Arial" w:hAnsi="Arial" w:cs="Arial"/>
        </w:rPr>
        <w:t xml:space="preserve">Maintaining compliance with local and international rules and laws, norms and </w:t>
      </w:r>
      <w:r w:rsidR="00C97E81" w:rsidRPr="00C97E81">
        <w:rPr>
          <w:rFonts w:ascii="Arial" w:hAnsi="Arial" w:cs="Arial"/>
        </w:rPr>
        <w:t>standards</w:t>
      </w:r>
      <w:r w:rsidRPr="00C97E81">
        <w:rPr>
          <w:rFonts w:ascii="Arial" w:hAnsi="Arial" w:cs="Arial"/>
        </w:rPr>
        <w:t>;</w:t>
      </w:r>
    </w:p>
    <w:p w:rsidR="00835C8D" w:rsidRPr="00C97E81" w:rsidRDefault="00835C8D" w:rsidP="00835C8D">
      <w:pPr>
        <w:pStyle w:val="ListParagraph"/>
        <w:numPr>
          <w:ilvl w:val="0"/>
          <w:numId w:val="8"/>
        </w:numPr>
        <w:spacing w:line="252" w:lineRule="auto"/>
        <w:ind w:left="1843"/>
        <w:jc w:val="both"/>
        <w:rPr>
          <w:rFonts w:ascii="Arial" w:hAnsi="Arial" w:cs="Arial"/>
        </w:rPr>
      </w:pPr>
      <w:r w:rsidRPr="00C97E81">
        <w:rPr>
          <w:rFonts w:ascii="Arial" w:hAnsi="Arial" w:cs="Arial"/>
        </w:rPr>
        <w:t>Ensuring business continuity;</w:t>
      </w:r>
    </w:p>
    <w:p w:rsidR="00835C8D" w:rsidRPr="00C97E81" w:rsidRDefault="00835C8D" w:rsidP="00835C8D">
      <w:pPr>
        <w:pStyle w:val="ListParagraph"/>
        <w:numPr>
          <w:ilvl w:val="0"/>
          <w:numId w:val="8"/>
        </w:numPr>
        <w:spacing w:line="254" w:lineRule="auto"/>
        <w:ind w:left="1843"/>
        <w:jc w:val="both"/>
        <w:rPr>
          <w:rFonts w:ascii="Arial" w:hAnsi="Arial" w:cs="Arial"/>
        </w:rPr>
      </w:pPr>
      <w:r w:rsidRPr="00C97E81">
        <w:rPr>
          <w:rFonts w:ascii="Arial" w:hAnsi="Arial" w:cs="Arial"/>
        </w:rPr>
        <w:t>Promoting a strong risk culture and control environment.</w:t>
      </w:r>
    </w:p>
    <w:p w:rsidR="00835C8D" w:rsidRPr="00C97E81" w:rsidRDefault="00EC138C" w:rsidP="00835C8D">
      <w:pPr>
        <w:pStyle w:val="ListParagraph"/>
        <w:numPr>
          <w:ilvl w:val="1"/>
          <w:numId w:val="7"/>
        </w:numPr>
        <w:spacing w:line="254" w:lineRule="auto"/>
        <w:rPr>
          <w:rFonts w:ascii="Arial" w:hAnsi="Arial" w:cs="Arial"/>
        </w:rPr>
      </w:pPr>
      <w:r>
        <w:rPr>
          <w:rFonts w:ascii="Arial" w:hAnsi="Arial" w:cs="Arial"/>
        </w:rPr>
        <w:t>Bank’s r</w:t>
      </w:r>
      <w:r w:rsidR="00DE7921" w:rsidRPr="00C97E81">
        <w:rPr>
          <w:rFonts w:ascii="Arial" w:hAnsi="Arial" w:cs="Arial"/>
        </w:rPr>
        <w:t>isk a</w:t>
      </w:r>
      <w:r>
        <w:rPr>
          <w:rFonts w:ascii="Arial" w:hAnsi="Arial" w:cs="Arial"/>
        </w:rPr>
        <w:t>ppetite</w:t>
      </w:r>
      <w:r w:rsidR="00835C8D" w:rsidRPr="00C97E81">
        <w:rPr>
          <w:rFonts w:ascii="Arial" w:hAnsi="Arial" w:cs="Arial"/>
        </w:rPr>
        <w:t xml:space="preserve"> consists of quantitative and qualitative, financial and non-financial indicators.</w:t>
      </w:r>
    </w:p>
    <w:p w:rsidR="00835C8D" w:rsidRPr="00C97E81" w:rsidRDefault="00835C8D" w:rsidP="00835C8D">
      <w:pPr>
        <w:pStyle w:val="ListParagraph"/>
        <w:ind w:left="1080"/>
        <w:jc w:val="both"/>
        <w:rPr>
          <w:rFonts w:ascii="Arial" w:hAnsi="Arial" w:cs="Arial"/>
        </w:rPr>
      </w:pPr>
    </w:p>
    <w:p w:rsidR="00835C8D" w:rsidRPr="00C97E81" w:rsidRDefault="00220227" w:rsidP="00835C8D">
      <w:pPr>
        <w:pStyle w:val="ListParagraph"/>
        <w:numPr>
          <w:ilvl w:val="0"/>
          <w:numId w:val="7"/>
        </w:numPr>
        <w:spacing w:line="254" w:lineRule="auto"/>
        <w:jc w:val="center"/>
        <w:rPr>
          <w:rFonts w:ascii="Arial" w:hAnsi="Arial" w:cs="Arial"/>
          <w:b/>
        </w:rPr>
      </w:pPr>
      <w:r>
        <w:rPr>
          <w:rFonts w:ascii="Arial" w:hAnsi="Arial" w:cs="Arial"/>
          <w:b/>
        </w:rPr>
        <w:t>Risk Appetite Statement Disclosure</w:t>
      </w:r>
    </w:p>
    <w:p w:rsidR="00835C8D" w:rsidRPr="00C97E81" w:rsidRDefault="00835C8D" w:rsidP="00835C8D">
      <w:pPr>
        <w:pStyle w:val="ListParagraph"/>
        <w:ind w:left="1080"/>
        <w:jc w:val="both"/>
        <w:rPr>
          <w:rFonts w:ascii="Arial" w:hAnsi="Arial" w:cs="Arial"/>
          <w:b/>
        </w:rPr>
      </w:pPr>
    </w:p>
    <w:p w:rsidR="00835C8D" w:rsidRPr="00C97E81" w:rsidRDefault="00835C8D" w:rsidP="00835C8D">
      <w:pPr>
        <w:pStyle w:val="ListParagraph"/>
        <w:numPr>
          <w:ilvl w:val="1"/>
          <w:numId w:val="7"/>
        </w:numPr>
        <w:spacing w:line="254" w:lineRule="auto"/>
        <w:jc w:val="both"/>
        <w:rPr>
          <w:rFonts w:ascii="Arial" w:hAnsi="Arial" w:cs="Arial"/>
          <w:b/>
        </w:rPr>
      </w:pPr>
      <w:r w:rsidRPr="00C97E81">
        <w:rPr>
          <w:rFonts w:ascii="Arial" w:hAnsi="Arial" w:cs="Arial"/>
          <w:b/>
        </w:rPr>
        <w:t>Financial risks</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Credit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low tolerance for risks arising from the possibility of a borrower or counterparty failing to meet its contractual obligations.</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Concentration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low tolerance for the risk of loss arising from the uneven distribution of debt across major counterparties and counterparty groups, sectors of the economy or geographical regions.</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Capital adequacy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high sensitivity and low tolerance to the risk of failing to meet its long-term obligations as well as violating the limit requirements set by the regulator.</w:t>
      </w:r>
    </w:p>
    <w:p w:rsidR="00835C8D" w:rsidRPr="00C97E81" w:rsidRDefault="00835C8D" w:rsidP="00835C8D">
      <w:pPr>
        <w:pStyle w:val="ListParagraph"/>
        <w:numPr>
          <w:ilvl w:val="2"/>
          <w:numId w:val="7"/>
        </w:numPr>
        <w:spacing w:line="254" w:lineRule="auto"/>
        <w:jc w:val="both"/>
        <w:rPr>
          <w:rFonts w:ascii="Arial" w:hAnsi="Arial" w:cs="Arial"/>
          <w:b/>
        </w:rPr>
      </w:pPr>
      <w:r w:rsidRPr="00C97E81">
        <w:rPr>
          <w:rFonts w:ascii="Arial" w:hAnsi="Arial" w:cs="Arial"/>
          <w:b/>
        </w:rPr>
        <w:t>Market risk</w:t>
      </w:r>
    </w:p>
    <w:p w:rsidR="00835C8D" w:rsidRPr="00C97E81" w:rsidRDefault="00835C8D" w:rsidP="00835C8D">
      <w:pPr>
        <w:pStyle w:val="ListParagraph"/>
        <w:ind w:left="1080"/>
        <w:jc w:val="both"/>
        <w:rPr>
          <w:rFonts w:ascii="Arial" w:hAnsi="Arial" w:cs="Arial"/>
        </w:rPr>
      </w:pPr>
      <w:r w:rsidRPr="00C97E81">
        <w:rPr>
          <w:rFonts w:ascii="Arial" w:eastAsia="Times" w:hAnsi="Arial" w:cs="Arial"/>
        </w:rPr>
        <w:t>The Bank has sensitivity and low tolerance to risks that may arise from unfavorable changes in the value of equity securities and production financial instruments, changes in foreign exchange rates, adverse changes in commodity prices, and changes in market interest rates.</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lastRenderedPageBreak/>
        <w:t>Liquidity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high sensitivity and low tolerance for the risk of loss arising from the inability to sell its assets at the desired/expected market price due to insufficient demand. The Bank maintains a liquidity portfolio of high-quality assets in order to protect its operational and liquidity position in a stressed market environment.</w:t>
      </w:r>
    </w:p>
    <w:p w:rsidR="00835C8D" w:rsidRPr="00C97E81" w:rsidRDefault="00835C8D" w:rsidP="00835C8D">
      <w:pPr>
        <w:pStyle w:val="ListParagraph"/>
        <w:ind w:left="1080"/>
        <w:jc w:val="both"/>
        <w:rPr>
          <w:rFonts w:ascii="Arial" w:hAnsi="Arial" w:cs="Arial"/>
        </w:rPr>
      </w:pPr>
    </w:p>
    <w:p w:rsidR="00835C8D" w:rsidRPr="00C97E81" w:rsidRDefault="00835C8D" w:rsidP="00835C8D">
      <w:pPr>
        <w:pStyle w:val="ListParagraph"/>
        <w:numPr>
          <w:ilvl w:val="1"/>
          <w:numId w:val="7"/>
        </w:numPr>
        <w:spacing w:line="254" w:lineRule="auto"/>
        <w:jc w:val="both"/>
        <w:rPr>
          <w:rFonts w:ascii="Arial" w:hAnsi="Arial" w:cs="Arial"/>
          <w:b/>
        </w:rPr>
      </w:pPr>
      <w:r w:rsidRPr="00C97E81">
        <w:rPr>
          <w:rFonts w:ascii="Arial" w:hAnsi="Arial" w:cs="Arial"/>
          <w:b/>
        </w:rPr>
        <w:t>Non-financial risks:</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Compliance risk</w:t>
      </w:r>
    </w:p>
    <w:p w:rsidR="00835C8D" w:rsidRPr="00C97E81" w:rsidRDefault="00835C8D" w:rsidP="00835C8D">
      <w:pPr>
        <w:pStyle w:val="ListParagraph"/>
        <w:ind w:left="1080"/>
        <w:jc w:val="both"/>
        <w:rPr>
          <w:rFonts w:ascii="Arial" w:hAnsi="Arial" w:cs="Arial"/>
        </w:rPr>
      </w:pPr>
      <w:r w:rsidRPr="00C97E81">
        <w:rPr>
          <w:rFonts w:ascii="Arial" w:hAnsi="Arial" w:cs="Arial"/>
        </w:rPr>
        <w:t xml:space="preserve">The Bank does not tolerate violations of international and local prudential regulatory requirements, </w:t>
      </w:r>
      <w:r w:rsidR="00FE6EC3">
        <w:rPr>
          <w:rFonts w:ascii="Arial" w:hAnsi="Arial" w:cs="Arial"/>
        </w:rPr>
        <w:t>consumer rights</w:t>
      </w:r>
      <w:r w:rsidRPr="00C97E81">
        <w:rPr>
          <w:rFonts w:ascii="Arial" w:hAnsi="Arial" w:cs="Arial"/>
        </w:rPr>
        <w:t xml:space="preserve">, social and environmental requirements and standards, high-priority compliance requirements - money laundering (legalization of property) or financing of terrorism, opening of accounts </w:t>
      </w:r>
      <w:r w:rsidR="00FE6EC3">
        <w:rPr>
          <w:rFonts w:ascii="Arial" w:hAnsi="Arial" w:cs="Arial"/>
        </w:rPr>
        <w:t>under anonymous and false names</w:t>
      </w:r>
      <w:r w:rsidRPr="00C97E81">
        <w:rPr>
          <w:rFonts w:ascii="Arial" w:hAnsi="Arial" w:cs="Arial"/>
        </w:rPr>
        <w:t>.</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Ethical Conduct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does not tolerate violations of corporate ethical norms and values, internal fraud, as well as the risk of corruption and bribery, and considers all possible cases as violations of the Code of Conduct.</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Model risk</w:t>
      </w:r>
    </w:p>
    <w:p w:rsidR="00835C8D" w:rsidRPr="00C97E81" w:rsidRDefault="00835C8D" w:rsidP="00835C8D">
      <w:pPr>
        <w:pStyle w:val="ListParagraph"/>
        <w:ind w:left="1080"/>
        <w:jc w:val="both"/>
        <w:rPr>
          <w:rFonts w:ascii="Arial" w:hAnsi="Arial" w:cs="Arial"/>
        </w:rPr>
      </w:pPr>
      <w:r w:rsidRPr="00C97E81">
        <w:rPr>
          <w:rFonts w:ascii="Arial" w:hAnsi="Arial" w:cs="Arial"/>
        </w:rPr>
        <w:t xml:space="preserve">The Bank does not tolerate any compromise in the adequacy of its models that it considers important in making business decisions and ensuring operations of the Bank, and ensures that </w:t>
      </w:r>
      <w:proofErr w:type="gramStart"/>
      <w:r w:rsidRPr="00C97E81">
        <w:rPr>
          <w:rFonts w:ascii="Arial" w:hAnsi="Arial" w:cs="Arial"/>
        </w:rPr>
        <w:t>the models are validated by internal and external assessors to manage these risks</w:t>
      </w:r>
      <w:proofErr w:type="gramEnd"/>
      <w:r w:rsidRPr="00C97E81">
        <w:rPr>
          <w:rFonts w:ascii="Arial" w:hAnsi="Arial" w:cs="Arial"/>
        </w:rPr>
        <w:t>.</w:t>
      </w:r>
    </w:p>
    <w:p w:rsidR="00835C8D" w:rsidRPr="00C97E81" w:rsidRDefault="00835C8D" w:rsidP="00835C8D">
      <w:pPr>
        <w:pStyle w:val="ListParagraph"/>
        <w:numPr>
          <w:ilvl w:val="2"/>
          <w:numId w:val="7"/>
        </w:numPr>
        <w:spacing w:line="254" w:lineRule="auto"/>
        <w:jc w:val="both"/>
        <w:rPr>
          <w:rFonts w:ascii="Arial" w:hAnsi="Arial" w:cs="Arial"/>
        </w:rPr>
      </w:pPr>
      <w:r w:rsidRPr="00C97E81">
        <w:rPr>
          <w:rFonts w:ascii="Arial" w:hAnsi="Arial" w:cs="Arial"/>
          <w:b/>
        </w:rPr>
        <w:t>Operational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high sensitivity and low tolerance to the risk of loss arising from inadequate or failed internal processes, people and systems, or external events. In order to minimize this risk, the Bank uses strengthened and authorized lines of defense, strengthens the control environment, establishes internal policies, rules and procedures, and automates its processes to minimize risk.</w:t>
      </w:r>
    </w:p>
    <w:p w:rsidR="00835C8D" w:rsidRPr="00C97E81" w:rsidRDefault="00DE7921" w:rsidP="00835C8D">
      <w:pPr>
        <w:pStyle w:val="ListParagraph"/>
        <w:numPr>
          <w:ilvl w:val="2"/>
          <w:numId w:val="7"/>
        </w:numPr>
        <w:spacing w:line="254" w:lineRule="auto"/>
        <w:jc w:val="both"/>
        <w:rPr>
          <w:rFonts w:ascii="Arial" w:hAnsi="Arial" w:cs="Arial"/>
        </w:rPr>
      </w:pPr>
      <w:r w:rsidRPr="00C97E81">
        <w:rPr>
          <w:rFonts w:ascii="Arial" w:hAnsi="Arial" w:cs="Arial"/>
          <w:b/>
        </w:rPr>
        <w:t>I</w:t>
      </w:r>
      <w:r w:rsidR="00835C8D" w:rsidRPr="00C97E81">
        <w:rPr>
          <w:rFonts w:ascii="Arial" w:hAnsi="Arial" w:cs="Arial"/>
          <w:b/>
        </w:rPr>
        <w:t>nformation systems risk</w:t>
      </w:r>
    </w:p>
    <w:p w:rsidR="00835C8D" w:rsidRPr="00C97E81" w:rsidRDefault="00835C8D" w:rsidP="00835C8D">
      <w:pPr>
        <w:pStyle w:val="ListParagraph"/>
        <w:ind w:left="1080"/>
        <w:jc w:val="both"/>
        <w:rPr>
          <w:rFonts w:ascii="Arial" w:hAnsi="Arial" w:cs="Arial"/>
        </w:rPr>
      </w:pPr>
      <w:r w:rsidRPr="00C97E81">
        <w:rPr>
          <w:rFonts w:ascii="Arial" w:hAnsi="Arial" w:cs="Arial"/>
        </w:rPr>
        <w:t>The Bank has a high sensitivity to the risks that may arise in the availability of systems involved in ensuring the continuity of critical business functions. In order to minimize these risks, the Bank implements continuous updates, improvements and audits through system testing to improve quality.</w:t>
      </w:r>
    </w:p>
    <w:p w:rsidR="00835C8D" w:rsidRPr="00C97E81" w:rsidRDefault="00DE7921" w:rsidP="00835C8D">
      <w:pPr>
        <w:pStyle w:val="ListParagraph"/>
        <w:numPr>
          <w:ilvl w:val="2"/>
          <w:numId w:val="7"/>
        </w:numPr>
        <w:spacing w:line="254" w:lineRule="auto"/>
        <w:jc w:val="both"/>
        <w:rPr>
          <w:rFonts w:ascii="Arial" w:hAnsi="Arial" w:cs="Arial"/>
        </w:rPr>
      </w:pPr>
      <w:r w:rsidRPr="00C97E81">
        <w:rPr>
          <w:rFonts w:ascii="Arial" w:hAnsi="Arial" w:cs="Arial"/>
          <w:b/>
        </w:rPr>
        <w:t>I</w:t>
      </w:r>
      <w:r w:rsidR="00835C8D" w:rsidRPr="00C97E81">
        <w:rPr>
          <w:rFonts w:ascii="Arial" w:hAnsi="Arial" w:cs="Arial"/>
          <w:b/>
        </w:rPr>
        <w:t>nformation security and Cyber risk</w:t>
      </w:r>
      <w:r w:rsidR="00835C8D" w:rsidRPr="00C97E81">
        <w:rPr>
          <w:rFonts w:ascii="Arial" w:hAnsi="Arial" w:cs="Arial"/>
        </w:rPr>
        <w:t xml:space="preserve"> </w:t>
      </w:r>
    </w:p>
    <w:p w:rsidR="00835C8D" w:rsidRPr="00C97E81" w:rsidRDefault="00835C8D" w:rsidP="00835C8D">
      <w:pPr>
        <w:pStyle w:val="ListParagraph"/>
        <w:ind w:left="1080"/>
        <w:jc w:val="both"/>
        <w:rPr>
          <w:rFonts w:ascii="Arial" w:hAnsi="Arial" w:cs="Arial"/>
        </w:rPr>
      </w:pPr>
      <w:r w:rsidRPr="00C97E81">
        <w:rPr>
          <w:rFonts w:ascii="Arial" w:hAnsi="Arial" w:cs="Arial"/>
        </w:rPr>
        <w:t xml:space="preserve">The Bank has a high sensitivity to incidents that may result in loss of Bank secrets, theft of customer assets and data, and other related adverse events </w:t>
      </w:r>
      <w:proofErr w:type="gramStart"/>
      <w:r w:rsidRPr="00C97E81">
        <w:rPr>
          <w:rFonts w:ascii="Arial" w:hAnsi="Arial" w:cs="Arial"/>
        </w:rPr>
        <w:t>as a result</w:t>
      </w:r>
      <w:proofErr w:type="gramEnd"/>
      <w:r w:rsidRPr="00C97E81">
        <w:rPr>
          <w:rFonts w:ascii="Arial" w:hAnsi="Arial" w:cs="Arial"/>
        </w:rPr>
        <w:t xml:space="preserve"> of external attacks and interventions. To prevent such incidents, the Bank applies enhanced control mechanisms based on international practices, conducts extensive and regular testing, and constantly develops its processes to ensure compliance with local and international regulatory requirements on information security.</w:t>
      </w:r>
    </w:p>
    <w:p w:rsidR="00835C8D" w:rsidRPr="00C97E81" w:rsidRDefault="00DE7921" w:rsidP="00835C8D">
      <w:pPr>
        <w:pStyle w:val="ListParagraph"/>
        <w:numPr>
          <w:ilvl w:val="2"/>
          <w:numId w:val="7"/>
        </w:numPr>
        <w:spacing w:line="254" w:lineRule="auto"/>
        <w:jc w:val="both"/>
        <w:rPr>
          <w:rFonts w:ascii="Arial" w:hAnsi="Arial" w:cs="Arial"/>
          <w:b/>
        </w:rPr>
      </w:pPr>
      <w:r w:rsidRPr="00C97E81">
        <w:rPr>
          <w:rFonts w:ascii="Arial" w:hAnsi="Arial" w:cs="Arial"/>
          <w:b/>
        </w:rPr>
        <w:t>Reputational</w:t>
      </w:r>
      <w:r w:rsidR="00835C8D" w:rsidRPr="00C97E81">
        <w:rPr>
          <w:rFonts w:ascii="Arial" w:hAnsi="Arial" w:cs="Arial"/>
          <w:b/>
        </w:rPr>
        <w:t xml:space="preserve"> risk</w:t>
      </w:r>
    </w:p>
    <w:p w:rsidR="00220227" w:rsidRPr="00C97E81" w:rsidRDefault="00835C8D" w:rsidP="00835C8D">
      <w:pPr>
        <w:pStyle w:val="ListParagraph"/>
        <w:ind w:left="1080"/>
        <w:jc w:val="both"/>
        <w:rPr>
          <w:rFonts w:ascii="Arial" w:hAnsi="Arial" w:cs="Arial"/>
        </w:rPr>
      </w:pPr>
      <w:r w:rsidRPr="00C97E81">
        <w:rPr>
          <w:rFonts w:ascii="Arial" w:hAnsi="Arial" w:cs="Arial"/>
        </w:rPr>
        <w:t>The Bank has a high sensitivity and a low tolerance for negative perceptions that may arise among customers, counterparties, partners, investors and other stakeholders, as well as situations that may damage reputation and image of the Bank. The Bank also monitors and investigates factors that may create this risk through tools such as news stories published in the media and social media, customer complaints, etc. and takes measures to eliminate the root causes that create these situations, as well as improve activities and processes.</w:t>
      </w:r>
    </w:p>
    <w:p w:rsidR="00835C8D" w:rsidRPr="00C97E81" w:rsidRDefault="00835C8D" w:rsidP="00835C8D">
      <w:pPr>
        <w:pStyle w:val="ListParagraph"/>
        <w:numPr>
          <w:ilvl w:val="0"/>
          <w:numId w:val="7"/>
        </w:numPr>
        <w:spacing w:line="254" w:lineRule="auto"/>
        <w:jc w:val="center"/>
        <w:rPr>
          <w:rFonts w:ascii="Arial" w:hAnsi="Arial" w:cs="Arial"/>
          <w:b/>
        </w:rPr>
      </w:pPr>
      <w:r w:rsidRPr="00C97E81">
        <w:rPr>
          <w:rFonts w:ascii="Arial" w:hAnsi="Arial" w:cs="Arial"/>
          <w:b/>
        </w:rPr>
        <w:t>Monitoring and Reporting of</w:t>
      </w:r>
      <w:r w:rsidR="00220227">
        <w:rPr>
          <w:rFonts w:ascii="Arial" w:hAnsi="Arial" w:cs="Arial"/>
          <w:b/>
        </w:rPr>
        <w:t xml:space="preserve"> the</w:t>
      </w:r>
      <w:r w:rsidRPr="00C97E81">
        <w:rPr>
          <w:rFonts w:ascii="Arial" w:hAnsi="Arial" w:cs="Arial"/>
          <w:b/>
        </w:rPr>
        <w:t xml:space="preserve"> Risk Appetite </w:t>
      </w:r>
    </w:p>
    <w:p w:rsidR="00835C8D" w:rsidRPr="00C97E81" w:rsidRDefault="00120520" w:rsidP="00835C8D">
      <w:pPr>
        <w:pStyle w:val="ListParagraph"/>
        <w:numPr>
          <w:ilvl w:val="1"/>
          <w:numId w:val="7"/>
        </w:numPr>
        <w:spacing w:line="254" w:lineRule="auto"/>
        <w:rPr>
          <w:rFonts w:ascii="Arial" w:hAnsi="Arial" w:cs="Arial"/>
        </w:rPr>
      </w:pPr>
      <w:r w:rsidRPr="00C97E81">
        <w:rPr>
          <w:rFonts w:ascii="Arial" w:hAnsi="Arial" w:cs="Arial"/>
        </w:rPr>
        <w:lastRenderedPageBreak/>
        <w:t>Assessing</w:t>
      </w:r>
      <w:r w:rsidR="00835C8D" w:rsidRPr="00C97E81">
        <w:rPr>
          <w:rFonts w:ascii="Arial" w:hAnsi="Arial" w:cs="Arial"/>
        </w:rPr>
        <w:t xml:space="preserve">, monitoring and reporting of the current status of risk appetite indicators with the set maximum limits is carried out in order to support the decision-making of </w:t>
      </w:r>
      <w:r w:rsidR="00460085" w:rsidRPr="00C97E81">
        <w:rPr>
          <w:rFonts w:ascii="Arial" w:hAnsi="Arial" w:cs="Arial"/>
        </w:rPr>
        <w:t xml:space="preserve">the </w:t>
      </w:r>
      <w:r w:rsidR="00835C8D" w:rsidRPr="00C97E81">
        <w:rPr>
          <w:rFonts w:ascii="Arial" w:hAnsi="Arial" w:cs="Arial"/>
        </w:rPr>
        <w:t>Senior Management of the Bank and to create a strong control environment.</w:t>
      </w:r>
    </w:p>
    <w:p w:rsidR="00835C8D" w:rsidRPr="00C97E81" w:rsidRDefault="00835C8D" w:rsidP="00835C8D">
      <w:pPr>
        <w:pStyle w:val="ListParagraph"/>
        <w:numPr>
          <w:ilvl w:val="1"/>
          <w:numId w:val="7"/>
        </w:numPr>
        <w:spacing w:line="254" w:lineRule="auto"/>
        <w:rPr>
          <w:rFonts w:ascii="Arial" w:hAnsi="Arial" w:cs="Arial"/>
        </w:rPr>
      </w:pPr>
      <w:r w:rsidRPr="00C97E81">
        <w:rPr>
          <w:rFonts w:ascii="Arial" w:hAnsi="Arial" w:cs="Arial"/>
        </w:rPr>
        <w:t xml:space="preserve">Monitoring of the indicators reflected in the Risk Appetite Statement </w:t>
      </w:r>
      <w:proofErr w:type="gramStart"/>
      <w:r w:rsidRPr="00C97E81">
        <w:rPr>
          <w:rFonts w:ascii="Arial" w:hAnsi="Arial" w:cs="Arial"/>
        </w:rPr>
        <w:t>is carried out</w:t>
      </w:r>
      <w:proofErr w:type="gramEnd"/>
      <w:r w:rsidRPr="00C97E81">
        <w:rPr>
          <w:rFonts w:ascii="Arial" w:hAnsi="Arial" w:cs="Arial"/>
        </w:rPr>
        <w:t xml:space="preserve"> </w:t>
      </w:r>
      <w:r w:rsidR="00C97E81" w:rsidRPr="00C97E81">
        <w:rPr>
          <w:rFonts w:ascii="Arial" w:hAnsi="Arial" w:cs="Arial"/>
        </w:rPr>
        <w:t>by structures</w:t>
      </w:r>
      <w:r w:rsidRPr="00C97E81">
        <w:rPr>
          <w:rFonts w:ascii="Arial" w:hAnsi="Arial" w:cs="Arial"/>
        </w:rPr>
        <w:t xml:space="preserve"> responsible for this task.</w:t>
      </w:r>
    </w:p>
    <w:p w:rsidR="00835C8D" w:rsidRPr="00C97E81" w:rsidRDefault="00835C8D" w:rsidP="00835C8D">
      <w:pPr>
        <w:pStyle w:val="ListParagraph"/>
        <w:numPr>
          <w:ilvl w:val="1"/>
          <w:numId w:val="7"/>
        </w:numPr>
        <w:spacing w:line="254" w:lineRule="auto"/>
        <w:rPr>
          <w:rFonts w:ascii="Arial" w:hAnsi="Arial" w:cs="Arial"/>
        </w:rPr>
      </w:pPr>
      <w:r w:rsidRPr="00C97E81">
        <w:rPr>
          <w:rFonts w:ascii="Arial" w:hAnsi="Arial" w:cs="Arial"/>
        </w:rPr>
        <w:t xml:space="preserve">The report on the compliance of RAS indicators with tolerance zones </w:t>
      </w:r>
      <w:proofErr w:type="gramStart"/>
      <w:r w:rsidRPr="00C97E81">
        <w:rPr>
          <w:rFonts w:ascii="Arial" w:hAnsi="Arial" w:cs="Arial"/>
        </w:rPr>
        <w:t>is sub</w:t>
      </w:r>
      <w:r w:rsidR="00120520" w:rsidRPr="00C97E81">
        <w:rPr>
          <w:rFonts w:ascii="Arial" w:hAnsi="Arial" w:cs="Arial"/>
        </w:rPr>
        <w:t>mitted</w:t>
      </w:r>
      <w:proofErr w:type="gramEnd"/>
      <w:r w:rsidR="00120520" w:rsidRPr="00C97E81">
        <w:rPr>
          <w:rFonts w:ascii="Arial" w:hAnsi="Arial" w:cs="Arial"/>
        </w:rPr>
        <w:t xml:space="preserve"> to the Executive Board</w:t>
      </w:r>
      <w:r w:rsidRPr="00C97E81">
        <w:rPr>
          <w:rFonts w:ascii="Arial" w:hAnsi="Arial" w:cs="Arial"/>
        </w:rPr>
        <w:t xml:space="preserve">, </w:t>
      </w:r>
      <w:r w:rsidR="00120520" w:rsidRPr="00C97E81">
        <w:rPr>
          <w:rFonts w:ascii="Arial" w:hAnsi="Arial" w:cs="Arial"/>
        </w:rPr>
        <w:t xml:space="preserve">the </w:t>
      </w:r>
      <w:r w:rsidRPr="00C97E81">
        <w:rPr>
          <w:rFonts w:ascii="Arial" w:hAnsi="Arial" w:cs="Arial"/>
        </w:rPr>
        <w:t xml:space="preserve">Risk Management Committee and </w:t>
      </w:r>
      <w:r w:rsidR="00120520" w:rsidRPr="00C97E81">
        <w:rPr>
          <w:rFonts w:ascii="Arial" w:hAnsi="Arial" w:cs="Arial"/>
        </w:rPr>
        <w:t xml:space="preserve">the </w:t>
      </w:r>
      <w:r w:rsidRPr="00C97E81">
        <w:rPr>
          <w:rFonts w:ascii="Arial" w:hAnsi="Arial" w:cs="Arial"/>
        </w:rPr>
        <w:t>Supervisory Board on a monthly basis.</w:t>
      </w:r>
    </w:p>
    <w:p w:rsidR="00835C8D" w:rsidRPr="00C97E81" w:rsidRDefault="00835C8D" w:rsidP="00835C8D">
      <w:pPr>
        <w:pStyle w:val="ListParagraph"/>
        <w:numPr>
          <w:ilvl w:val="1"/>
          <w:numId w:val="7"/>
        </w:numPr>
        <w:spacing w:line="254" w:lineRule="auto"/>
        <w:rPr>
          <w:rFonts w:ascii="Arial" w:hAnsi="Arial" w:cs="Arial"/>
        </w:rPr>
      </w:pPr>
      <w:r w:rsidRPr="00C97E81">
        <w:rPr>
          <w:rFonts w:ascii="Arial" w:hAnsi="Arial" w:cs="Arial"/>
        </w:rPr>
        <w:t xml:space="preserve">The report includes risk appetite indicators, the </w:t>
      </w:r>
      <w:r w:rsidR="00C97E81" w:rsidRPr="00C97E81">
        <w:rPr>
          <w:rFonts w:ascii="Arial" w:hAnsi="Arial" w:cs="Arial"/>
        </w:rPr>
        <w:t>status</w:t>
      </w:r>
      <w:r w:rsidRPr="00C97E81">
        <w:rPr>
          <w:rFonts w:ascii="Arial" w:hAnsi="Arial" w:cs="Arial"/>
        </w:rPr>
        <w:t xml:space="preserve"> of risk appetite limits, deviations from risk appetite limits, and an action plan for improvement.</w:t>
      </w:r>
    </w:p>
    <w:p w:rsidR="00835C8D" w:rsidRPr="00C97E81" w:rsidRDefault="00835C8D" w:rsidP="00835C8D">
      <w:pPr>
        <w:pStyle w:val="ListParagraph"/>
        <w:rPr>
          <w:rFonts w:ascii="Arial" w:hAnsi="Arial" w:cs="Arial"/>
          <w:b/>
        </w:rPr>
      </w:pPr>
    </w:p>
    <w:p w:rsidR="00835C8D" w:rsidRPr="00C97E81" w:rsidRDefault="00835C8D" w:rsidP="00835C8D">
      <w:pPr>
        <w:pStyle w:val="ListParagraph"/>
        <w:numPr>
          <w:ilvl w:val="0"/>
          <w:numId w:val="7"/>
        </w:numPr>
        <w:spacing w:line="254" w:lineRule="auto"/>
        <w:jc w:val="center"/>
        <w:rPr>
          <w:rFonts w:ascii="Arial" w:hAnsi="Arial" w:cs="Arial"/>
          <w:b/>
        </w:rPr>
      </w:pPr>
      <w:r w:rsidRPr="00C97E81">
        <w:rPr>
          <w:rFonts w:ascii="Arial" w:hAnsi="Arial" w:cs="Arial"/>
          <w:b/>
        </w:rPr>
        <w:t>Final Provisions</w:t>
      </w:r>
    </w:p>
    <w:p w:rsidR="00835C8D" w:rsidRPr="00C97E81" w:rsidRDefault="00835C8D" w:rsidP="00835C8D">
      <w:pPr>
        <w:pStyle w:val="ListParagraph"/>
        <w:numPr>
          <w:ilvl w:val="1"/>
          <w:numId w:val="7"/>
        </w:numPr>
        <w:spacing w:line="254" w:lineRule="auto"/>
        <w:jc w:val="both"/>
        <w:rPr>
          <w:rFonts w:ascii="Arial" w:hAnsi="Arial" w:cs="Arial"/>
        </w:rPr>
      </w:pPr>
      <w:r w:rsidRPr="00C97E81">
        <w:rPr>
          <w:rFonts w:ascii="Arial" w:hAnsi="Arial" w:cs="Arial"/>
        </w:rPr>
        <w:t>All emplo</w:t>
      </w:r>
      <w:r w:rsidR="00120520" w:rsidRPr="00C97E81">
        <w:rPr>
          <w:rFonts w:ascii="Arial" w:hAnsi="Arial" w:cs="Arial"/>
        </w:rPr>
        <w:t xml:space="preserve">yees of the Bank </w:t>
      </w:r>
      <w:proofErr w:type="gramStart"/>
      <w:r w:rsidR="00120520" w:rsidRPr="00C97E81">
        <w:rPr>
          <w:rFonts w:ascii="Arial" w:hAnsi="Arial" w:cs="Arial"/>
        </w:rPr>
        <w:t>are guided</w:t>
      </w:r>
      <w:proofErr w:type="gramEnd"/>
      <w:r w:rsidR="00120520" w:rsidRPr="00C97E81">
        <w:rPr>
          <w:rFonts w:ascii="Arial" w:hAnsi="Arial" w:cs="Arial"/>
        </w:rPr>
        <w:t xml:space="preserve"> by </w:t>
      </w:r>
      <w:r w:rsidR="00EC138C">
        <w:rPr>
          <w:rFonts w:ascii="Arial" w:hAnsi="Arial" w:cs="Arial"/>
        </w:rPr>
        <w:t xml:space="preserve">the Bank’s </w:t>
      </w:r>
      <w:r w:rsidR="00120520" w:rsidRPr="00C97E81">
        <w:rPr>
          <w:rFonts w:ascii="Arial" w:hAnsi="Arial" w:cs="Arial"/>
        </w:rPr>
        <w:t>risk a</w:t>
      </w:r>
      <w:r w:rsidR="00EC138C">
        <w:rPr>
          <w:rFonts w:ascii="Arial" w:hAnsi="Arial" w:cs="Arial"/>
        </w:rPr>
        <w:t>ppetite</w:t>
      </w:r>
      <w:r w:rsidRPr="00C97E81">
        <w:rPr>
          <w:rFonts w:ascii="Arial" w:hAnsi="Arial" w:cs="Arial"/>
        </w:rPr>
        <w:t xml:space="preserve"> and tolerance level in their work and are responsible for its implementation.</w:t>
      </w:r>
    </w:p>
    <w:p w:rsidR="00835C8D" w:rsidRPr="00C97E81" w:rsidRDefault="00EC138C" w:rsidP="00835C8D">
      <w:pPr>
        <w:pStyle w:val="ListParagraph"/>
        <w:numPr>
          <w:ilvl w:val="1"/>
          <w:numId w:val="7"/>
        </w:numPr>
        <w:spacing w:line="254" w:lineRule="auto"/>
        <w:jc w:val="both"/>
        <w:rPr>
          <w:rFonts w:ascii="Arial" w:hAnsi="Arial" w:cs="Arial"/>
        </w:rPr>
      </w:pPr>
      <w:r>
        <w:rPr>
          <w:rFonts w:ascii="Arial" w:hAnsi="Arial" w:cs="Arial"/>
        </w:rPr>
        <w:t xml:space="preserve">Bank’s </w:t>
      </w:r>
      <w:r w:rsidR="00835C8D" w:rsidRPr="00C97E81">
        <w:rPr>
          <w:rFonts w:ascii="Arial" w:hAnsi="Arial" w:cs="Arial"/>
        </w:rPr>
        <w:t>Ris</w:t>
      </w:r>
      <w:r>
        <w:rPr>
          <w:rFonts w:ascii="Arial" w:hAnsi="Arial" w:cs="Arial"/>
        </w:rPr>
        <w:t xml:space="preserve">k Appetite Statement </w:t>
      </w:r>
      <w:proofErr w:type="gramStart"/>
      <w:r w:rsidR="00835C8D" w:rsidRPr="00C97E81">
        <w:rPr>
          <w:rFonts w:ascii="Arial" w:hAnsi="Arial" w:cs="Arial"/>
        </w:rPr>
        <w:t xml:space="preserve">is reviewed at least once a </w:t>
      </w:r>
      <w:r w:rsidR="00FE6EC3">
        <w:rPr>
          <w:rFonts w:ascii="Arial" w:hAnsi="Arial" w:cs="Arial"/>
        </w:rPr>
        <w:t>year and updated, if necessary</w:t>
      </w:r>
      <w:proofErr w:type="gramEnd"/>
      <w:r w:rsidR="00FE6EC3">
        <w:rPr>
          <w:rFonts w:ascii="Arial" w:hAnsi="Arial" w:cs="Arial"/>
        </w:rPr>
        <w:t>.</w:t>
      </w:r>
    </w:p>
    <w:p w:rsidR="00835C8D" w:rsidRPr="00C97E81" w:rsidRDefault="00835C8D" w:rsidP="00835C8D">
      <w:pPr>
        <w:pStyle w:val="ListParagraph"/>
        <w:numPr>
          <w:ilvl w:val="1"/>
          <w:numId w:val="7"/>
        </w:numPr>
        <w:spacing w:line="254" w:lineRule="auto"/>
        <w:jc w:val="both"/>
        <w:rPr>
          <w:rFonts w:ascii="Arial" w:hAnsi="Arial" w:cs="Arial"/>
        </w:rPr>
      </w:pPr>
      <w:r w:rsidRPr="00C97E81">
        <w:rPr>
          <w:rFonts w:ascii="Arial" w:hAnsi="Arial" w:cs="Arial"/>
        </w:rPr>
        <w:t xml:space="preserve">Risk Appetite Statement of the Bank </w:t>
      </w:r>
      <w:proofErr w:type="gramStart"/>
      <w:r w:rsidRPr="00C97E81">
        <w:rPr>
          <w:rFonts w:ascii="Arial" w:hAnsi="Arial" w:cs="Arial"/>
        </w:rPr>
        <w:t>i</w:t>
      </w:r>
      <w:r w:rsidR="00120520" w:rsidRPr="00C97E81">
        <w:rPr>
          <w:rFonts w:ascii="Arial" w:hAnsi="Arial" w:cs="Arial"/>
        </w:rPr>
        <w:t>s reviewed</w:t>
      </w:r>
      <w:proofErr w:type="gramEnd"/>
      <w:r w:rsidR="00120520" w:rsidRPr="00C97E81">
        <w:rPr>
          <w:rFonts w:ascii="Arial" w:hAnsi="Arial" w:cs="Arial"/>
        </w:rPr>
        <w:t xml:space="preserve"> by the Executive Board</w:t>
      </w:r>
      <w:r w:rsidRPr="00C97E81">
        <w:rPr>
          <w:rFonts w:ascii="Arial" w:hAnsi="Arial" w:cs="Arial"/>
        </w:rPr>
        <w:t xml:space="preserve"> and </w:t>
      </w:r>
      <w:r w:rsidR="00120520" w:rsidRPr="00C97E81">
        <w:rPr>
          <w:rFonts w:ascii="Arial" w:hAnsi="Arial" w:cs="Arial"/>
        </w:rPr>
        <w:t xml:space="preserve">the </w:t>
      </w:r>
      <w:r w:rsidRPr="00C97E81">
        <w:rPr>
          <w:rFonts w:ascii="Arial" w:hAnsi="Arial" w:cs="Arial"/>
        </w:rPr>
        <w:t>Risk Management Committee of the Bank and comes into effect upon approval by the Supervisory Board.</w:t>
      </w:r>
    </w:p>
    <w:p w:rsidR="00835C8D" w:rsidRPr="00C97E81" w:rsidRDefault="00835C8D" w:rsidP="00835C8D">
      <w:pPr>
        <w:pStyle w:val="ListParagraph"/>
        <w:numPr>
          <w:ilvl w:val="1"/>
          <w:numId w:val="7"/>
        </w:numPr>
        <w:spacing w:line="254" w:lineRule="auto"/>
        <w:jc w:val="both"/>
        <w:rPr>
          <w:rFonts w:ascii="Arial" w:hAnsi="Arial" w:cs="Arial"/>
        </w:rPr>
      </w:pPr>
      <w:r w:rsidRPr="00C97E81">
        <w:rPr>
          <w:rFonts w:ascii="Arial" w:hAnsi="Arial" w:cs="Arial"/>
        </w:rPr>
        <w:t xml:space="preserve">All amendments and additions to the Risk Appetite Statement shall enter into force upon approval by </w:t>
      </w:r>
      <w:r w:rsidR="00120520" w:rsidRPr="00C97E81">
        <w:rPr>
          <w:rFonts w:ascii="Arial" w:hAnsi="Arial" w:cs="Arial"/>
        </w:rPr>
        <w:t>the Supervisory Board of the Bank</w:t>
      </w:r>
      <w:r w:rsidRPr="00C97E81">
        <w:rPr>
          <w:rFonts w:ascii="Arial" w:hAnsi="Arial" w:cs="Arial"/>
        </w:rPr>
        <w:t>.</w:t>
      </w:r>
    </w:p>
    <w:p w:rsidR="00835C8D" w:rsidRDefault="00835C8D" w:rsidP="00835C8D">
      <w:pPr>
        <w:jc w:val="both"/>
        <w:rPr>
          <w:rFonts w:ascii="Arial" w:hAnsi="Arial" w:cs="Arial"/>
          <w:lang w:val="az-Latn-AZ"/>
        </w:rPr>
      </w:pPr>
    </w:p>
    <w:p w:rsidR="00835C8D" w:rsidRDefault="00835C8D" w:rsidP="00835C8D">
      <w:pPr>
        <w:rPr>
          <w:rFonts w:ascii="Arial" w:hAnsi="Arial" w:cs="Arial"/>
          <w:noProof/>
          <w:lang w:val="az-Latn-AZ"/>
        </w:rPr>
      </w:pPr>
    </w:p>
    <w:p w:rsidR="00737501" w:rsidRPr="00BD6574" w:rsidRDefault="00737501" w:rsidP="00737501">
      <w:pPr>
        <w:jc w:val="both"/>
        <w:rPr>
          <w:rFonts w:ascii="Arial" w:hAnsi="Arial" w:cs="Arial"/>
          <w:lang w:val="az-Latn-AZ"/>
        </w:rPr>
      </w:pPr>
    </w:p>
    <w:p w:rsidR="005365C6" w:rsidRPr="00BD6574" w:rsidRDefault="005365C6" w:rsidP="005365C6">
      <w:pPr>
        <w:rPr>
          <w:rFonts w:ascii="Arial" w:hAnsi="Arial" w:cs="Arial"/>
          <w:noProof/>
          <w:lang w:val="az-Latn-AZ"/>
        </w:rPr>
      </w:pPr>
    </w:p>
    <w:p w:rsidR="005365C6" w:rsidRPr="00BD6574" w:rsidRDefault="005365C6" w:rsidP="00BE2B96">
      <w:pPr>
        <w:jc w:val="center"/>
        <w:rPr>
          <w:rFonts w:ascii="Arial" w:hAnsi="Arial" w:cs="Arial"/>
          <w:noProof/>
          <w:lang w:val="az-Latn-AZ"/>
        </w:rPr>
      </w:pPr>
    </w:p>
    <w:p w:rsidR="005365C6" w:rsidRPr="00BD6574" w:rsidRDefault="005365C6" w:rsidP="00BE2B96">
      <w:pPr>
        <w:jc w:val="center"/>
        <w:rPr>
          <w:rFonts w:ascii="Arial" w:hAnsi="Arial" w:cs="Arial"/>
          <w:noProof/>
          <w:lang w:val="az-Latn-AZ"/>
        </w:rPr>
      </w:pPr>
    </w:p>
    <w:p w:rsidR="005365C6" w:rsidRPr="00BD6574" w:rsidRDefault="005365C6" w:rsidP="00BE2B96">
      <w:pPr>
        <w:jc w:val="center"/>
        <w:rPr>
          <w:rFonts w:ascii="Arial" w:hAnsi="Arial" w:cs="Arial"/>
          <w:noProof/>
          <w:lang w:val="az-Latn-AZ"/>
        </w:rPr>
      </w:pPr>
    </w:p>
    <w:p w:rsidR="005365C6" w:rsidRPr="00BD6574" w:rsidRDefault="005365C6" w:rsidP="00BE2B96">
      <w:pPr>
        <w:jc w:val="center"/>
        <w:rPr>
          <w:rFonts w:ascii="Arial" w:hAnsi="Arial" w:cs="Arial"/>
          <w:noProof/>
          <w:lang w:val="az-Latn-AZ"/>
        </w:rPr>
      </w:pPr>
    </w:p>
    <w:p w:rsidR="005365C6" w:rsidRPr="00BD6574" w:rsidRDefault="005365C6" w:rsidP="00BE2B96">
      <w:pPr>
        <w:jc w:val="center"/>
        <w:rPr>
          <w:rFonts w:ascii="Arial" w:hAnsi="Arial" w:cs="Arial"/>
          <w:noProof/>
          <w:lang w:val="az-Latn-AZ"/>
        </w:rPr>
      </w:pPr>
    </w:p>
    <w:sectPr w:rsidR="005365C6" w:rsidRPr="00BD6574" w:rsidSect="00A36E22">
      <w:pgSz w:w="12240" w:h="15840"/>
      <w:pgMar w:top="1440" w:right="1440" w:bottom="127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8401C" w16cex:dateUtc="2025-11-03T11:42:00Z"/>
  <w16cex:commentExtensible w16cex:durableId="2F241502" w16cex:dateUtc="2025-11-03T11:47:00Z"/>
  <w16cex:commentExtensible w16cex:durableId="44A8F69E" w16cex:dateUtc="2025-11-03T12:03:00Z"/>
  <w16cex:commentExtensible w16cex:durableId="57866917" w16cex:dateUtc="2025-11-03T11:48:00Z"/>
  <w16cex:commentExtensible w16cex:durableId="4907DAFC" w16cex:dateUtc="2025-11-03T12:01:00Z"/>
  <w16cex:commentExtensible w16cex:durableId="706DFE20" w16cex:dateUtc="2025-11-03T11:53:00Z"/>
  <w16cex:commentExtensible w16cex:durableId="38424A35" w16cex:dateUtc="2025-11-03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00733" w16cid:durableId="0488401C"/>
  <w16cid:commentId w16cid:paraId="498AEC7C" w16cid:durableId="2F241502"/>
  <w16cid:commentId w16cid:paraId="09880729" w16cid:durableId="44A8F69E"/>
  <w16cid:commentId w16cid:paraId="5BE4EDEE" w16cid:durableId="57866917"/>
  <w16cid:commentId w16cid:paraId="62993752" w16cid:durableId="4907DAFC"/>
  <w16cid:commentId w16cid:paraId="7393C591" w16cid:durableId="706DFE20"/>
  <w16cid:commentId w16cid:paraId="3FF3C01B" w16cid:durableId="38424A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5A2C"/>
    <w:multiLevelType w:val="multilevel"/>
    <w:tmpl w:val="1E5C1E52"/>
    <w:lvl w:ilvl="0">
      <w:start w:val="1"/>
      <w:numFmt w:val="decimal"/>
      <w:lvlText w:val="%1"/>
      <w:lvlJc w:val="left"/>
      <w:pPr>
        <w:ind w:left="444" w:hanging="444"/>
      </w:pPr>
    </w:lvl>
    <w:lvl w:ilvl="1">
      <w:start w:val="2"/>
      <w:numFmt w:val="decimal"/>
      <w:lvlText w:val="%1.%2"/>
      <w:lvlJc w:val="left"/>
      <w:pPr>
        <w:ind w:left="984" w:hanging="444"/>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 w15:restartNumberingAfterBreak="0">
    <w:nsid w:val="422B1B46"/>
    <w:multiLevelType w:val="hybridMultilevel"/>
    <w:tmpl w:val="23F8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95D1A"/>
    <w:multiLevelType w:val="multilevel"/>
    <w:tmpl w:val="4EA466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734A91"/>
    <w:multiLevelType w:val="hybridMultilevel"/>
    <w:tmpl w:val="BBC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C5A78"/>
    <w:multiLevelType w:val="multilevel"/>
    <w:tmpl w:val="A920CABC"/>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96"/>
    <w:rsid w:val="00002703"/>
    <w:rsid w:val="00006961"/>
    <w:rsid w:val="000A55B4"/>
    <w:rsid w:val="000C52F9"/>
    <w:rsid w:val="0011760D"/>
    <w:rsid w:val="00120520"/>
    <w:rsid w:val="00142AC9"/>
    <w:rsid w:val="00144F8F"/>
    <w:rsid w:val="00220227"/>
    <w:rsid w:val="00287E48"/>
    <w:rsid w:val="002D3175"/>
    <w:rsid w:val="002F2CEA"/>
    <w:rsid w:val="003633C0"/>
    <w:rsid w:val="003D1A17"/>
    <w:rsid w:val="003E6E92"/>
    <w:rsid w:val="00460085"/>
    <w:rsid w:val="004D0425"/>
    <w:rsid w:val="004D50E5"/>
    <w:rsid w:val="004D6F7F"/>
    <w:rsid w:val="00531E56"/>
    <w:rsid w:val="005365C6"/>
    <w:rsid w:val="0054778E"/>
    <w:rsid w:val="00557FD8"/>
    <w:rsid w:val="0059315E"/>
    <w:rsid w:val="005A732E"/>
    <w:rsid w:val="00652B81"/>
    <w:rsid w:val="00663103"/>
    <w:rsid w:val="00695650"/>
    <w:rsid w:val="006A7C30"/>
    <w:rsid w:val="00721886"/>
    <w:rsid w:val="00737501"/>
    <w:rsid w:val="007377DF"/>
    <w:rsid w:val="0078285C"/>
    <w:rsid w:val="007C252F"/>
    <w:rsid w:val="00832241"/>
    <w:rsid w:val="00835C8D"/>
    <w:rsid w:val="008609E1"/>
    <w:rsid w:val="00986D6C"/>
    <w:rsid w:val="009B37AB"/>
    <w:rsid w:val="009E468E"/>
    <w:rsid w:val="00A36E22"/>
    <w:rsid w:val="00A43012"/>
    <w:rsid w:val="00AA5328"/>
    <w:rsid w:val="00AF5619"/>
    <w:rsid w:val="00AF6651"/>
    <w:rsid w:val="00B2582A"/>
    <w:rsid w:val="00BC2FA9"/>
    <w:rsid w:val="00BD6574"/>
    <w:rsid w:val="00BE2B96"/>
    <w:rsid w:val="00C443AF"/>
    <w:rsid w:val="00C635D5"/>
    <w:rsid w:val="00C97E81"/>
    <w:rsid w:val="00D47B40"/>
    <w:rsid w:val="00DB17BB"/>
    <w:rsid w:val="00DE7921"/>
    <w:rsid w:val="00E3180A"/>
    <w:rsid w:val="00E40434"/>
    <w:rsid w:val="00E41934"/>
    <w:rsid w:val="00EC138C"/>
    <w:rsid w:val="00EC47A0"/>
    <w:rsid w:val="00ED3CFD"/>
    <w:rsid w:val="00EF2176"/>
    <w:rsid w:val="00F11317"/>
    <w:rsid w:val="00F22078"/>
    <w:rsid w:val="00F92431"/>
    <w:rsid w:val="00FA5D4D"/>
    <w:rsid w:val="00FE6EC3"/>
    <w:rsid w:val="00FE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3215C-03D4-4A8C-86B7-4A8174C4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B96"/>
    <w:rPr>
      <w:color w:val="0563C1" w:themeColor="hyperlink"/>
      <w:u w:val="single"/>
    </w:rPr>
  </w:style>
  <w:style w:type="paragraph" w:styleId="CommentText">
    <w:name w:val="annotation text"/>
    <w:basedOn w:val="Normal"/>
    <w:link w:val="CommentTextChar"/>
    <w:uiPriority w:val="99"/>
    <w:unhideWhenUsed/>
    <w:rsid w:val="00BE2B96"/>
    <w:pPr>
      <w:spacing w:line="240" w:lineRule="auto"/>
    </w:pPr>
    <w:rPr>
      <w:sz w:val="20"/>
      <w:szCs w:val="20"/>
    </w:rPr>
  </w:style>
  <w:style w:type="character" w:customStyle="1" w:styleId="CommentTextChar">
    <w:name w:val="Comment Text Char"/>
    <w:basedOn w:val="DefaultParagraphFont"/>
    <w:link w:val="CommentText"/>
    <w:uiPriority w:val="99"/>
    <w:rsid w:val="00BE2B96"/>
    <w:rPr>
      <w:sz w:val="20"/>
      <w:szCs w:val="20"/>
    </w:rPr>
  </w:style>
  <w:style w:type="paragraph" w:styleId="ListParagraph">
    <w:name w:val="List Paragraph"/>
    <w:basedOn w:val="Normal"/>
    <w:uiPriority w:val="34"/>
    <w:qFormat/>
    <w:rsid w:val="00BE2B96"/>
    <w:pPr>
      <w:ind w:left="720"/>
      <w:contextualSpacing/>
    </w:pPr>
  </w:style>
  <w:style w:type="character" w:styleId="CommentReference">
    <w:name w:val="annotation reference"/>
    <w:basedOn w:val="DefaultParagraphFont"/>
    <w:uiPriority w:val="99"/>
    <w:semiHidden/>
    <w:unhideWhenUsed/>
    <w:rsid w:val="00BE2B96"/>
    <w:rPr>
      <w:sz w:val="16"/>
      <w:szCs w:val="16"/>
    </w:rPr>
  </w:style>
  <w:style w:type="paragraph" w:styleId="BalloonText">
    <w:name w:val="Balloon Text"/>
    <w:basedOn w:val="Normal"/>
    <w:link w:val="BalloonTextChar"/>
    <w:uiPriority w:val="99"/>
    <w:semiHidden/>
    <w:unhideWhenUsed/>
    <w:rsid w:val="00BE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2703"/>
    <w:rPr>
      <w:b/>
      <w:bCs/>
    </w:rPr>
  </w:style>
  <w:style w:type="character" w:customStyle="1" w:styleId="CommentSubjectChar">
    <w:name w:val="Comment Subject Char"/>
    <w:basedOn w:val="CommentTextChar"/>
    <w:link w:val="CommentSubject"/>
    <w:uiPriority w:val="99"/>
    <w:semiHidden/>
    <w:rsid w:val="00002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9312">
      <w:bodyDiv w:val="1"/>
      <w:marLeft w:val="0"/>
      <w:marRight w:val="0"/>
      <w:marTop w:val="0"/>
      <w:marBottom w:val="0"/>
      <w:divBdr>
        <w:top w:val="none" w:sz="0" w:space="0" w:color="auto"/>
        <w:left w:val="none" w:sz="0" w:space="0" w:color="auto"/>
        <w:bottom w:val="none" w:sz="0" w:space="0" w:color="auto"/>
        <w:right w:val="none" w:sz="0" w:space="0" w:color="auto"/>
      </w:divBdr>
    </w:div>
    <w:div w:id="1395811802">
      <w:bodyDiv w:val="1"/>
      <w:marLeft w:val="0"/>
      <w:marRight w:val="0"/>
      <w:marTop w:val="0"/>
      <w:marBottom w:val="0"/>
      <w:divBdr>
        <w:top w:val="none" w:sz="0" w:space="0" w:color="auto"/>
        <w:left w:val="none" w:sz="0" w:space="0" w:color="auto"/>
        <w:bottom w:val="none" w:sz="0" w:space="0" w:color="auto"/>
        <w:right w:val="none" w:sz="0" w:space="0" w:color="auto"/>
      </w:divBdr>
    </w:div>
    <w:div w:id="1560939227">
      <w:bodyDiv w:val="1"/>
      <w:marLeft w:val="0"/>
      <w:marRight w:val="0"/>
      <w:marTop w:val="0"/>
      <w:marBottom w:val="0"/>
      <w:divBdr>
        <w:top w:val="none" w:sz="0" w:space="0" w:color="auto"/>
        <w:left w:val="none" w:sz="0" w:space="0" w:color="auto"/>
        <w:bottom w:val="none" w:sz="0" w:space="0" w:color="auto"/>
        <w:right w:val="none" w:sz="0" w:space="0" w:color="auto"/>
      </w:divBdr>
    </w:div>
    <w:div w:id="19855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c7d15a3d-8a62-44a7-8077-6c02b986812c"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u5krZ6d+vXZGVUQTKACcemWM3IwjDIqc4hYUHwbkQM8=</DigestValue>
      </Reference>
      <Reference URI="#CLASSIFICATIONHISTORY">
        <DigestMethod Algorithm="http://www.w3.org/2001/04/xmlenc#sha256"/>
        <DigestValue>hdmaio7TUlA7hUwEM8nvlWB4CMnOh49Ht2ePAefJlDs=</DigestValue>
      </Reference>
    </SignedInfo>
    <SignatureValue>aFiDu6G/oOdhC1kvTuAuM9YB/RxZQSsMNN+9HfAyWvllQelfeNxckYDxPFwHxsqW1EWCDq4o7Kz5ZG6BPh5rvA==</SignatureValue>
    <Object Id="CLASSIFICATIONHISTORY">
      <ArrayOfString xmlns:xsd="http://www.w3.org/2001/XMLSchema" xmlns:xsi="http://www.w3.org/2001/XMLSchema-instance" xmlns="">
        <string>2VgG/OGUwkDcrSuw/1z04Kq+MNyfK6Tw</string>
      </ArrayOfString>
    </Object>
  </Signature>
</WrappedLabelHistory>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tOGtnYnF5OWxYMjFScnp2bERVS28vSFd3MnIxZitiQTwvZWxoPjxjb25maWc+S2FwaXRhbCBCYW5rIEFTQzwvY29uZmlnPjxwb2w+S2FwaXRhbCBCYW5rIEFTQyBQb2xpY3k8L3BvbD48c3VtbWFyeT5JbnRlcm5hbD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Dwcy6h3KO73XXwPj/GuHEuyvKRYZKN75GZ/GhoUUvhk=</DigestValue>
      </Reference>
      <Reference URI="#INFO">
        <DigestMethod Algorithm="http://www.w3.org/2001/04/xmlenc#sha256"/>
        <DigestValue>fbzpF4g1/XCF9/jaEIyZSnmZObN9I0iNeXW5MN87vrc=</DigestValue>
      </Reference>
    </SignedInfo>
    <SignatureValue>GZ6w9TF1y+z5tl+WDcINz2EFjTK8vIEOgIgL+aAjNgfkLoFJJ2oG3whgIXQwUFZvxGsn9zLVVHEEHSofYcBXqA==</SignatureValue>
    <Object Id="INFO">
      <ArrayOfString xmlns:xsd="http://www.w3.org/2001/XMLSchema" xmlns:xsi="http://www.w3.org/2001/XMLSchema-instance" xmlns="">
        <string>m8kgbqy9lX21RrzvlDUKo/HWw2r1f+bA</string>
      </ArrayOfString>
    </Object>
  </Signature>
</WrappedLabelInfo>
</file>

<file path=customXml/itemProps1.xml><?xml version="1.0" encoding="utf-8"?>
<ds:datastoreItem xmlns:ds="http://schemas.openxmlformats.org/officeDocument/2006/customXml" ds:itemID="{F6568703-F062-4E69-8553-F6AD7B27172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B5265A2-C283-4EC0-AAD4-9CB67478F1D1}">
  <ds:schemaRefs>
    <ds:schemaRef ds:uri="http://www.w3.org/2001/XMLSchema"/>
    <ds:schemaRef ds:uri="http://www.boldonjames.com/2016/02/Classifier/internal/wrappedLabelHistory"/>
    <ds:schemaRef ds:uri="http://www.w3.org/2000/09/xmldsig#"/>
    <ds:schemaRef ds:uri=""/>
  </ds:schemaRefs>
</ds:datastoreItem>
</file>

<file path=customXml/itemProps3.xml><?xml version="1.0" encoding="utf-8"?>
<ds:datastoreItem xmlns:ds="http://schemas.openxmlformats.org/officeDocument/2006/customXml" ds:itemID="{AFA27E79-B1B0-485E-9005-29B77CE9E02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5845</Characters>
  <Application>Microsoft Office Word</Application>
  <DocSecurity>0</DocSecurity>
  <Lines>123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Xanim A. Maharlamova</dc:creator>
  <cp:keywords/>
  <dc:description/>
  <cp:lastModifiedBy>Oksana I. Bagirova</cp:lastModifiedBy>
  <cp:revision>3</cp:revision>
  <dcterms:created xsi:type="dcterms:W3CDTF">2025-11-03T13:27:00Z</dcterms:created>
  <dcterms:modified xsi:type="dcterms:W3CDTF">2025-11-04T14:02:00Z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38f46d81-93d2-4d86-931d-9e091838b16e</vt:lpwstr>
  </property>
  <property fmtid="{D5CDD505-2E9C-101B-9397-08002B2CF9AE}" pid="3" name="bjSaver">
    <vt:lpwstr>uC+c15DrOUlrATrJ2yoxMXATrlyb2cjQ</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uid="c7d15a3d-8a62-44a7-8077-6c02b986812c" value="" /&gt;&lt;/sisl&gt;</vt:lpwstr>
  </property>
  <property fmtid="{D5CDD505-2E9C-101B-9397-08002B2CF9AE}" pid="6" name="bjClsUserRVM">
    <vt:lpwstr>[]</vt:lpwstr>
  </property>
  <property fmtid="{D5CDD505-2E9C-101B-9397-08002B2CF9AE}" pid="7" name="bjpmDocIH">
    <vt:lpwstr>ig11NYpHtQC7nu1/uHagZsfpIxETNto7</vt:lpwstr>
  </property>
  <property fmtid="{D5CDD505-2E9C-101B-9397-08002B2CF9AE}" pid="8" name="bjLabelHistoryID">
    <vt:lpwstr>{4B5265A2-C283-4EC0-AAD4-9CB67478F1D1}</vt:lpwstr>
  </property>
</Properties>
</file>